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b/>
          <w:bCs/>
          <w:sz w:val="32"/>
          <w:szCs w:val="32"/>
        </w:rPr>
        <w:t xml:space="preserve">DATA PROCESSING AGREEMENT</w:t>
      </w:r>
    </w:p>
    <w:p>
      <w:pPr>
        <w:spacing w:after="240"/>
        <w:jc w:val="center"/>
      </w:pPr>
      <w:r>
        <w:rPr>
          <w:sz w:val="24"/>
          <w:szCs w:val="24"/>
        </w:rPr>
        <w:t xml:space="preserve">SyncMate by WYHEN Pty Ltd</w:t>
      </w:r>
    </w:p>
    <w:p>
      <w:pPr>
        <w:spacing w:after="120"/>
      </w:pPr>
      <w:r>
        <w:t xml:space="preserve">Template version: 2026-07-24. This is an editable template supplied by WYHEN Pty Ltd (ABN 57 688 078 999) trading as SyncMate ("Processor") for review or execution by its customers ("Controller"). Fields marked [ ] are to be completed by the parties.</w:t>
      </w:r>
    </w:p>
    <w:p>
      <w:pPr>
        <w:pStyle w:val="Heading1"/>
      </w:pPr>
      <w:r>
        <w:rPr>
          <w:b/>
          <w:bCs/>
        </w:rPr>
        <w:t xml:space="preserve">1. Parties</w:t>
      </w:r>
    </w:p>
    <w:p>
      <w:pPr>
        <w:spacing w:after="120"/>
      </w:pPr>
      <w:r>
        <w:t xml:space="preserve">Controller: [Customer legal name], [ABN/ACN or company number], [address].</w:t>
      </w:r>
    </w:p>
    <w:p>
      <w:pPr>
        <w:spacing w:after="120"/>
      </w:pPr>
      <w:r>
        <w:t xml:space="preserve">Processor: WYHEN Pty Ltd (ABN 57 688 078 999) trading as SyncMate, an Australian company.</w:t>
      </w:r>
    </w:p>
    <w:p>
      <w:pPr>
        <w:pStyle w:val="Heading1"/>
      </w:pPr>
      <w:r>
        <w:rPr>
          <w:b/>
          <w:bCs/>
        </w:rPr>
        <w:t xml:space="preserve">2. Definitions</w:t>
      </w:r>
    </w:p>
    <w:p>
      <w:pPr>
        <w:spacing w:after="120"/>
      </w:pPr>
      <w:r>
        <w:t xml:space="preserve">"Personal Data", "Processing", "Data Subject", and "Sub-processor" have the meanings given in the Australian Privacy Act 1988 (Cth) and, where applicable to the Controller, the EU/UK General Data Protection Regulation.</w:t>
      </w:r>
    </w:p>
    <w:p>
      <w:pPr>
        <w:spacing w:after="120"/>
      </w:pPr>
      <w:r>
        <w:t xml:space="preserve">"Services" means the SyncMate SaaS platform for expense capture, document extraction, and accounting system synchronisation.</w:t>
      </w:r>
    </w:p>
    <w:p>
      <w:pPr>
        <w:pStyle w:val="Heading1"/>
      </w:pPr>
      <w:r>
        <w:rPr>
          <w:b/>
          <w:bCs/>
        </w:rPr>
        <w:t xml:space="preserve">3. Scope and Purpose of Processing</w:t>
      </w:r>
    </w:p>
    <w:p>
      <w:pPr>
        <w:spacing w:after="120"/>
      </w:pPr>
      <w:r>
        <w:t xml:space="preserve">The Processor processes Personal Data on behalf of the Controller solely for the purpose of providing the Services, which comprise:</w:t>
      </w:r>
    </w:p>
    <w:p>
      <w:pPr>
        <w:pStyle w:val="ListParagraph"/>
        <w:numPr>
          <w:ilvl w:val="0"/>
          <w:numId w:val="2"/>
        </w:numPr>
      </w:pPr>
      <w:r>
        <w:t xml:space="preserve">OCR and structured data extraction from Controller-uploaded documents (invoices, receipts, bank statements).</w:t>
      </w:r>
    </w:p>
    <w:p>
      <w:pPr>
        <w:pStyle w:val="ListParagraph"/>
        <w:numPr>
          <w:ilvl w:val="0"/>
          <w:numId w:val="2"/>
        </w:numPr>
      </w:pPr>
      <w:r>
        <w:t xml:space="preserve">Synchronisation of extracted data with connected third-party accounting systems (e.g., Xero) under Controller-authorised OAuth.</w:t>
      </w:r>
    </w:p>
    <w:p>
      <w:pPr>
        <w:pStyle w:val="ListParagraph"/>
        <w:numPr>
          <w:ilvl w:val="0"/>
          <w:numId w:val="2"/>
        </w:numPr>
      </w:pPr>
      <w:r>
        <w:t xml:space="preserve">Storage of extracted results within the Controller's tenant for retrieval, review, and export.</w:t>
      </w:r>
    </w:p>
    <w:p>
      <w:pPr>
        <w:pStyle w:val="ListParagraph"/>
        <w:numPr>
          <w:ilvl w:val="0"/>
          <w:numId w:val="2"/>
        </w:numPr>
      </w:pPr>
      <w:r>
        <w:t xml:space="preserve">Powering the Controller's own private AI-assisted memory features, scoped to the Controller's workspace.</w:t>
      </w:r>
    </w:p>
    <w:p>
      <w:pPr>
        <w:pStyle w:val="Heading1"/>
      </w:pPr>
      <w:r>
        <w:rPr>
          <w:b/>
          <w:bCs/>
        </w:rPr>
        <w:t xml:space="preserve">4. Categories of Data Subjects and Personal Data</w:t>
      </w:r>
    </w:p>
    <w:p>
      <w:pPr>
        <w:spacing w:after="120"/>
      </w:pPr>
      <w:r>
        <w:t xml:space="preserve">Data Subjects: the Controller's authorised users, and any natural persons named in documents the Controller uploads (e.g., suppliers, employees on expense claims).</w:t>
      </w:r>
    </w:p>
    <w:p>
      <w:pPr>
        <w:spacing w:after="120"/>
      </w:pPr>
      <w:r>
        <w:t xml:space="preserve">Categories of Personal Data:</w:t>
      </w:r>
    </w:p>
    <w:p>
      <w:pPr>
        <w:pStyle w:val="ListParagraph"/>
        <w:numPr>
          <w:ilvl w:val="0"/>
          <w:numId w:val="2"/>
        </w:numPr>
      </w:pPr>
      <w:r>
        <w:t xml:space="preserve">Account credentials (name, business email, encrypted password hash).</w:t>
      </w:r>
    </w:p>
    <w:p>
      <w:pPr>
        <w:pStyle w:val="ListParagraph"/>
        <w:numPr>
          <w:ilvl w:val="0"/>
          <w:numId w:val="2"/>
        </w:numPr>
      </w:pPr>
      <w:r>
        <w:t xml:space="preserve">Business financial records (invoice line items, amounts, GST, supplier names, bank transactions).</w:t>
      </w:r>
    </w:p>
    <w:p>
      <w:pPr>
        <w:pStyle w:val="ListParagraph"/>
        <w:numPr>
          <w:ilvl w:val="0"/>
          <w:numId w:val="2"/>
        </w:numPr>
      </w:pPr>
      <w:r>
        <w:t xml:space="preserve">Integration metadata (Xero Chart of Accounts, tracking categories, tax rates).</w:t>
      </w:r>
    </w:p>
    <w:p>
      <w:pPr>
        <w:pStyle w:val="Heading1"/>
      </w:pPr>
      <w:r>
        <w:rPr>
          <w:b/>
          <w:bCs/>
        </w:rPr>
        <w:t xml:space="preserve">5. Sub-processors</w:t>
      </w:r>
    </w:p>
    <w:p>
      <w:pPr>
        <w:spacing w:after="120"/>
      </w:pPr>
      <w:r>
        <w:t xml:space="preserve">The Controller authorises the following Sub-processors as at the template date. The Processor will maintain the current list on its Trust &amp; Security page and notify the Controller of material additions.</w:t>
      </w:r>
    </w:p>
    <w:p>
      <w:pPr>
        <w:pStyle w:val="ListParagraph"/>
        <w:numPr>
          <w:ilvl w:val="0"/>
          <w:numId w:val="2"/>
        </w:numPr>
      </w:pPr>
      <w:r>
        <w:t xml:space="preserve">Supabase — Postgres database, authentication, object storage.</w:t>
      </w:r>
    </w:p>
    <w:p>
      <w:pPr>
        <w:pStyle w:val="ListParagraph"/>
        <w:numPr>
          <w:ilvl w:val="0"/>
          <w:numId w:val="2"/>
        </w:numPr>
      </w:pPr>
      <w:r>
        <w:t xml:space="preserve">Cloudflare — hosting, edge compute, DNS.</w:t>
      </w:r>
    </w:p>
    <w:p>
      <w:pPr>
        <w:pStyle w:val="ListParagraph"/>
        <w:numPr>
          <w:ilvl w:val="0"/>
          <w:numId w:val="2"/>
        </w:numPr>
      </w:pPr>
      <w:r>
        <w:t xml:space="preserve">Lovable — application platform and AI request gateway.</w:t>
      </w:r>
    </w:p>
    <w:p>
      <w:pPr>
        <w:pStyle w:val="ListParagraph"/>
        <w:numPr>
          <w:ilvl w:val="0"/>
          <w:numId w:val="2"/>
        </w:numPr>
      </w:pPr>
      <w:r>
        <w:t xml:space="preserve">OpenAI — AI model inference via enterprise API (does not train on API submissions).</w:t>
      </w:r>
    </w:p>
    <w:p>
      <w:pPr>
        <w:pStyle w:val="ListParagraph"/>
        <w:numPr>
          <w:ilvl w:val="0"/>
          <w:numId w:val="2"/>
        </w:numPr>
      </w:pPr>
      <w:r>
        <w:t xml:space="preserve">Google — Gemini API (Paid tier) inference (does not train on API submissions).</w:t>
      </w:r>
    </w:p>
    <w:p>
      <w:pPr>
        <w:pStyle w:val="ListParagraph"/>
        <w:numPr>
          <w:ilvl w:val="0"/>
          <w:numId w:val="2"/>
        </w:numPr>
      </w:pPr>
      <w:r>
        <w:t xml:space="preserve">Xero — source accounting system connected under Controller-authorised OAuth.</w:t>
      </w:r>
    </w:p>
    <w:p>
      <w:pPr>
        <w:pStyle w:val="ListParagraph"/>
        <w:numPr>
          <w:ilvl w:val="0"/>
          <w:numId w:val="2"/>
        </w:numPr>
      </w:pPr>
      <w:r>
        <w:t xml:space="preserve">Paddle — Merchant of Record for card payments.</w:t>
      </w:r>
    </w:p>
    <w:p>
      <w:pPr>
        <w:pStyle w:val="ListParagraph"/>
        <w:numPr>
          <w:ilvl w:val="0"/>
          <w:numId w:val="2"/>
        </w:numPr>
      </w:pPr>
      <w:r>
        <w:t xml:space="preserve">GoCardless — BECS direct-debit payments (Australian Controllers).</w:t>
      </w:r>
    </w:p>
    <w:p>
      <w:pPr>
        <w:pStyle w:val="Heading1"/>
      </w:pPr>
      <w:r>
        <w:rPr>
          <w:b/>
          <w:bCs/>
        </w:rPr>
        <w:t xml:space="preserve">6. Security Measures</w:t>
      </w:r>
    </w:p>
    <w:p>
      <w:pPr>
        <w:spacing w:after="120"/>
      </w:pPr>
      <w:r>
        <w:t xml:space="preserve">The Processor implements and maintains the following technical and organisational measures:</w:t>
      </w:r>
    </w:p>
    <w:p>
      <w:pPr>
        <w:pStyle w:val="ListParagraph"/>
        <w:numPr>
          <w:ilvl w:val="0"/>
          <w:numId w:val="2"/>
        </w:numPr>
      </w:pPr>
      <w:r>
        <w:t xml:space="preserve">Encryption in transit (TLS 1.2 or higher) on all network connections.</w:t>
      </w:r>
    </w:p>
    <w:p>
      <w:pPr>
        <w:pStyle w:val="ListParagraph"/>
        <w:numPr>
          <w:ilvl w:val="0"/>
          <w:numId w:val="2"/>
        </w:numPr>
      </w:pPr>
      <w:r>
        <w:t xml:space="preserve">Encryption at rest (AES-256) via managed disk encryption on the underlying Postgres database.</w:t>
      </w:r>
    </w:p>
    <w:p>
      <w:pPr>
        <w:pStyle w:val="ListParagraph"/>
        <w:numPr>
          <w:ilvl w:val="0"/>
          <w:numId w:val="2"/>
        </w:numPr>
      </w:pPr>
      <w:r>
        <w:t xml:space="preserve">Row-Level Security (RLS) enabled on every Controller-data table; policies scope each row to its owner or explicit account members.</w:t>
      </w:r>
    </w:p>
    <w:p>
      <w:pPr>
        <w:pStyle w:val="ListParagraph"/>
        <w:numPr>
          <w:ilvl w:val="0"/>
          <w:numId w:val="2"/>
        </w:numPr>
      </w:pPr>
      <w:r>
        <w:t xml:space="preserve">Server-side scoping of OAuth tokens; access and refresh tokens are never exposed to the browser or to other Controllers.</w:t>
      </w:r>
    </w:p>
    <w:p>
      <w:pPr>
        <w:pStyle w:val="ListParagraph"/>
        <w:numPr>
          <w:ilvl w:val="0"/>
          <w:numId w:val="2"/>
        </w:numPr>
      </w:pPr>
      <w:r>
        <w:t xml:space="preserve">Sign-in via Xero OAuth 2.0 or email/password managed by a managed identity provider.</w:t>
      </w:r>
    </w:p>
    <w:p>
      <w:pPr>
        <w:pStyle w:val="ListParagraph"/>
        <w:numPr>
          <w:ilvl w:val="0"/>
          <w:numId w:val="2"/>
        </w:numPr>
      </w:pPr>
      <w:r>
        <w:t xml:space="preserve">Hosted in the AWS Asia-Pacific region.</w:t>
      </w:r>
    </w:p>
    <w:p>
      <w:pPr>
        <w:pStyle w:val="Heading1"/>
      </w:pPr>
      <w:r>
        <w:rPr>
          <w:b/>
          <w:bCs/>
        </w:rPr>
        <w:t xml:space="preserve">7. AI Data Handling</w:t>
      </w:r>
    </w:p>
    <w:p>
      <w:pPr>
        <w:spacing w:after="120"/>
      </w:pPr>
      <w:r>
        <w:t xml:space="preserve">Controller documents and extracted financial data are processed via enterprise API endpoints of AI Sub-processors (OpenAI and Google Gemini API Paid tier), which contractually do not use API submissions to train their models. The Processor does not build, train, fine-tune, or maintain any proprietary AI model. Extracted data is written only to the Controller's own RLS-scoped tenant and is not shared with, or made accessible to, any other Controller.</w:t>
      </w:r>
    </w:p>
    <w:p>
      <w:pPr>
        <w:pStyle w:val="Heading1"/>
      </w:pPr>
      <w:r>
        <w:rPr>
          <w:b/>
          <w:bCs/>
        </w:rPr>
        <w:t xml:space="preserve">8. Confidentiality</w:t>
      </w:r>
    </w:p>
    <w:p>
      <w:pPr>
        <w:spacing w:after="120"/>
      </w:pPr>
      <w:r>
        <w:t xml:space="preserve">The Processor ensures that personnel authorised to Process Personal Data are bound by written confidentiality obligations.</w:t>
      </w:r>
    </w:p>
    <w:p>
      <w:pPr>
        <w:pStyle w:val="Heading1"/>
      </w:pPr>
      <w:r>
        <w:rPr>
          <w:b/>
          <w:bCs/>
        </w:rPr>
        <w:t xml:space="preserve">9. Assistance to the Controller</w:t>
      </w:r>
    </w:p>
    <w:p>
      <w:pPr>
        <w:spacing w:after="120"/>
      </w:pPr>
      <w:r>
        <w:t xml:space="preserve">The Processor will, taking into account the nature of Processing, provide reasonable assistance to the Controller in responding to Data Subject requests and in fulfilling the Controller's obligations regarding security, breach notification, and data protection impact assessments.</w:t>
      </w:r>
    </w:p>
    <w:p>
      <w:pPr>
        <w:pStyle w:val="Heading1"/>
      </w:pPr>
      <w:r>
        <w:rPr>
          <w:b/>
          <w:bCs/>
        </w:rPr>
        <w:t xml:space="preserve">10. Data Breach Notification</w:t>
      </w:r>
    </w:p>
    <w:p>
      <w:pPr>
        <w:spacing w:after="120"/>
      </w:pPr>
      <w:r>
        <w:t xml:space="preserve">The Processor will notify the Controller without undue delay, and in any event within 72 hours, after becoming aware of a Personal Data breach affecting the Controller's data. The notification will describe the nature of the breach, likely consequences, and measures taken or proposed.</w:t>
      </w:r>
    </w:p>
    <w:p>
      <w:pPr>
        <w:pStyle w:val="Heading1"/>
      </w:pPr>
      <w:r>
        <w:rPr>
          <w:b/>
          <w:bCs/>
        </w:rPr>
        <w:t xml:space="preserve">11. Audit Rights</w:t>
      </w:r>
    </w:p>
    <w:p>
      <w:pPr>
        <w:spacing w:after="120"/>
      </w:pPr>
      <w:r>
        <w:t xml:space="preserve">Customer audit rights are satisfied by the current SOC 2 and/or ISO 27001 reports maintained by the Processor's infrastructure Sub-processors (including Supabase and Cloudflare), which the Processor will make available on request under NDA. This does not include on-site inspection of the Processor's or its Sub-processors' facilities.</w:t>
      </w:r>
    </w:p>
    <w:p>
      <w:pPr>
        <w:pStyle w:val="Heading1"/>
      </w:pPr>
      <w:r>
        <w:rPr>
          <w:b/>
          <w:bCs/>
        </w:rPr>
        <w:t xml:space="preserve">12. Data Return and Deletion</w:t>
      </w:r>
    </w:p>
    <w:p>
      <w:pPr>
        <w:spacing w:after="120"/>
      </w:pPr>
      <w:r>
        <w:t xml:space="preserve">On termination of the Services, the Controller may export its data via the in-app CSV export. On written request, the Processor will permanently delete the Controller's data within 30 days, subject to any overriding statutory retention obligation (e.g., anti-money-laundering or tax record-keeping law), in which case the data will remain protected by this DPA until deletion is lawful.</w:t>
      </w:r>
    </w:p>
    <w:p>
      <w:pPr>
        <w:pStyle w:val="Heading1"/>
      </w:pPr>
      <w:r>
        <w:rPr>
          <w:b/>
          <w:bCs/>
        </w:rPr>
        <w:t xml:space="preserve">13. International Transfers</w:t>
      </w:r>
    </w:p>
    <w:p>
      <w:pPr>
        <w:spacing w:after="120"/>
      </w:pPr>
      <w:r>
        <w:t xml:space="preserve">Personal Data is hosted in the AWS Asia-Pacific region. AI inference requests are transmitted to Sub-processors (OpenAI, Google) whose endpoints may be located outside the Asia-Pacific region. Such transfers are governed by the Sub-processors' published terms and, where applicable, standard contractual clauses.</w:t>
      </w:r>
    </w:p>
    <w:p>
      <w:pPr>
        <w:pStyle w:val="Heading1"/>
      </w:pPr>
      <w:r>
        <w:rPr>
          <w:b/>
          <w:bCs/>
        </w:rPr>
        <w:t xml:space="preserve">14. Governing Law</w:t>
      </w:r>
    </w:p>
    <w:p>
      <w:pPr>
        <w:spacing w:after="120"/>
      </w:pPr>
      <w:r>
        <w:t xml:space="preserve">This DPA is governed by the laws of New South Wales, Australia. The parties submit to the exclusive jurisdiction of the courts of New South Wales.</w:t>
      </w:r>
    </w:p>
    <w:p>
      <w:pPr>
        <w:pStyle w:val="Heading1"/>
      </w:pPr>
      <w:r>
        <w:rPr>
          <w:b/>
          <w:bCs/>
        </w:rPr>
        <w:t xml:space="preserve">15. Signatures</w:t>
      </w:r>
    </w:p>
    <w:p>
      <w:r>
        <w:t xml:space="preserve"/>
      </w:r>
    </w:p>
    <w:p>
      <w:pPr>
        <w:spacing w:after="120"/>
      </w:pPr>
      <w:r>
        <w:t xml:space="preserve">For the Controller:</w:t>
      </w:r>
    </w:p>
    <w:p>
      <w:pPr>
        <w:spacing w:after="120"/>
      </w:pPr>
      <w:r>
        <w:t xml:space="preserve">Signed: ____________________________</w:t>
      </w:r>
    </w:p>
    <w:p>
      <w:pPr>
        <w:spacing w:after="120"/>
      </w:pPr>
      <w:r>
        <w:t xml:space="preserve">Name:   ____________________________</w:t>
      </w:r>
    </w:p>
    <w:p>
      <w:pPr>
        <w:spacing w:after="120"/>
      </w:pPr>
      <w:r>
        <w:t xml:space="preserve">Title:  ____________________________</w:t>
      </w:r>
    </w:p>
    <w:p>
      <w:pPr>
        <w:spacing w:after="120"/>
      </w:pPr>
      <w:r>
        <w:t xml:space="preserve">Date:   ____________________________</w:t>
      </w:r>
    </w:p>
    <w:p>
      <w:r>
        <w:t xml:space="preserve"/>
      </w:r>
    </w:p>
    <w:p>
      <w:pPr>
        <w:spacing w:after="120"/>
      </w:pPr>
      <w:r>
        <w:t xml:space="preserve">For the Processor (WYHEN Pty Ltd trading as SyncMate):</w:t>
      </w:r>
    </w:p>
    <w:p>
      <w:pPr>
        <w:spacing w:after="120"/>
      </w:pPr>
      <w:r>
        <w:t xml:space="preserve">Signed: ____________________________</w:t>
      </w:r>
    </w:p>
    <w:p>
      <w:pPr>
        <w:spacing w:after="120"/>
      </w:pPr>
      <w:r>
        <w:t xml:space="preserve">Name:   ____________________________</w:t>
      </w:r>
    </w:p>
    <w:p>
      <w:pPr>
        <w:spacing w:after="120"/>
      </w:pPr>
      <w:r>
        <w:t xml:space="preserve">Title:  ____________________________</w:t>
      </w:r>
    </w:p>
    <w:p>
      <w:pPr>
        <w:spacing w:after="120"/>
      </w:pPr>
      <w:r>
        <w:t xml:space="preserve">Date:   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2026-07-24T08:23:00.980Z</dcterms:created>
  <dcterms:modified xsi:type="dcterms:W3CDTF">2026-07-24T08:23:00.980Z</dcterms:modified>
</cp:coreProperties>
</file>

<file path=docProps/custom.xml><?xml version="1.0" encoding="utf-8"?>
<Properties xmlns="http://schemas.openxmlformats.org/officeDocument/2006/custom-properties" xmlns:vt="http://schemas.openxmlformats.org/officeDocument/2006/docPropsVTypes"/>
</file>